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F4DF" w14:textId="36E9C6F0" w:rsidR="00660C31" w:rsidRDefault="00660C31" w:rsidP="00967F1A">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660C31">
        <w:rPr>
          <w:rFonts w:ascii="inherit" w:eastAsia="Times New Roman" w:hAnsi="inherit" w:cs="Arial"/>
          <w:b/>
          <w:bCs/>
          <w:color w:val="393939"/>
          <w:kern w:val="0"/>
          <w:sz w:val="21"/>
          <w:szCs w:val="21"/>
          <w:bdr w:val="none" w:sz="0" w:space="0" w:color="auto" w:frame="1"/>
          <w:lang w:eastAsia="es-CO"/>
          <w14:ligatures w14:val="none"/>
        </w:rPr>
        <w:t>LUNA DE MIEL EN COREA Y PHUKET</w:t>
      </w:r>
    </w:p>
    <w:p w14:paraId="361D045C" w14:textId="4BD84D79" w:rsidR="00346E53" w:rsidRDefault="00022346" w:rsidP="00967F1A">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11</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Pr>
          <w:rFonts w:ascii="inherit" w:eastAsia="Times New Roman" w:hAnsi="inherit" w:cs="Arial"/>
          <w:b/>
          <w:bCs/>
          <w:color w:val="393939"/>
          <w:kern w:val="0"/>
          <w:sz w:val="21"/>
          <w:szCs w:val="21"/>
          <w:bdr w:val="none" w:sz="0" w:space="0" w:color="auto" w:frame="1"/>
          <w:lang w:eastAsia="es-CO"/>
          <w14:ligatures w14:val="none"/>
        </w:rPr>
        <w:t>10</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60D83337" w14:textId="77777777" w:rsidR="00E83A02" w:rsidRDefault="00E83A02" w:rsidP="00967F1A">
      <w:pPr>
        <w:shd w:val="clear" w:color="auto" w:fill="FFFFFF"/>
        <w:spacing w:after="0" w:line="240" w:lineRule="auto"/>
        <w:jc w:val="both"/>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1B2146EB" w14:textId="519D0B58" w:rsidR="00346E53" w:rsidRPr="00E83A02" w:rsidRDefault="00E83A02" w:rsidP="00967F1A">
      <w:pPr>
        <w:shd w:val="clear" w:color="auto" w:fill="FFFFFF"/>
        <w:spacing w:after="0" w:line="240" w:lineRule="auto"/>
        <w:jc w:val="both"/>
        <w:textAlignment w:val="baseline"/>
        <w:rPr>
          <w:rFonts w:ascii="inherit" w:eastAsia="Times New Roman" w:hAnsi="inherit" w:cs="Arial"/>
          <w:color w:val="393939"/>
          <w:kern w:val="0"/>
          <w:sz w:val="21"/>
          <w:szCs w:val="21"/>
          <w:bdr w:val="none" w:sz="0" w:space="0" w:color="auto" w:frame="1"/>
          <w:lang w:eastAsia="es-CO"/>
          <w14:ligatures w14:val="none"/>
        </w:rPr>
      </w:pPr>
      <w:r w:rsidRPr="00E83A02">
        <w:rPr>
          <w:rFonts w:ascii="inherit" w:eastAsia="Times New Roman" w:hAnsi="inherit" w:cs="Arial"/>
          <w:b/>
          <w:bCs/>
          <w:color w:val="393939"/>
          <w:kern w:val="0"/>
          <w:sz w:val="21"/>
          <w:szCs w:val="21"/>
          <w:bdr w:val="none" w:sz="0" w:space="0" w:color="auto" w:frame="1"/>
          <w:lang w:eastAsia="es-CO"/>
          <w14:ligatures w14:val="none"/>
        </w:rPr>
        <w:t>Destinos:</w:t>
      </w:r>
      <w:r>
        <w:rPr>
          <w:rFonts w:ascii="inherit" w:eastAsia="Times New Roman" w:hAnsi="inherit" w:cs="Arial"/>
          <w:color w:val="393939"/>
          <w:kern w:val="0"/>
          <w:sz w:val="21"/>
          <w:szCs w:val="21"/>
          <w:bdr w:val="none" w:sz="0" w:space="0" w:color="auto" w:frame="1"/>
          <w:lang w:eastAsia="es-CO"/>
          <w14:ligatures w14:val="none"/>
        </w:rPr>
        <w:t xml:space="preserve"> Seúl, </w:t>
      </w:r>
      <w:r w:rsidRPr="00E83A02">
        <w:rPr>
          <w:rFonts w:ascii="inherit" w:eastAsia="Times New Roman" w:hAnsi="inherit" w:cs="Arial"/>
          <w:color w:val="393939"/>
          <w:kern w:val="0"/>
          <w:sz w:val="21"/>
          <w:szCs w:val="21"/>
          <w:bdr w:val="none" w:sz="0" w:space="0" w:color="auto" w:frame="1"/>
          <w:lang w:eastAsia="es-CO"/>
          <w14:ligatures w14:val="none"/>
        </w:rPr>
        <w:t>P.N. Monte Songnisan</w:t>
      </w:r>
      <w:r>
        <w:rPr>
          <w:rFonts w:ascii="inherit" w:eastAsia="Times New Roman" w:hAnsi="inherit" w:cs="Arial"/>
          <w:color w:val="393939"/>
          <w:kern w:val="0"/>
          <w:sz w:val="21"/>
          <w:szCs w:val="21"/>
          <w:bdr w:val="none" w:sz="0" w:space="0" w:color="auto" w:frame="1"/>
          <w:lang w:eastAsia="es-CO"/>
          <w14:ligatures w14:val="none"/>
        </w:rPr>
        <w:t xml:space="preserve">, </w:t>
      </w:r>
      <w:r w:rsidRPr="00E83A02">
        <w:rPr>
          <w:rFonts w:ascii="inherit" w:eastAsia="Times New Roman" w:hAnsi="inherit" w:cs="Arial"/>
          <w:color w:val="393939"/>
          <w:kern w:val="0"/>
          <w:sz w:val="21"/>
          <w:szCs w:val="21"/>
          <w:bdr w:val="none" w:sz="0" w:space="0" w:color="auto" w:frame="1"/>
          <w:lang w:eastAsia="es-CO"/>
          <w14:ligatures w14:val="none"/>
        </w:rPr>
        <w:t>Daegu</w:t>
      </w:r>
      <w:r>
        <w:rPr>
          <w:rFonts w:ascii="inherit" w:eastAsia="Times New Roman" w:hAnsi="inherit" w:cs="Arial"/>
          <w:color w:val="393939"/>
          <w:kern w:val="0"/>
          <w:sz w:val="21"/>
          <w:szCs w:val="21"/>
          <w:bdr w:val="none" w:sz="0" w:space="0" w:color="auto" w:frame="1"/>
          <w:lang w:eastAsia="es-CO"/>
          <w14:ligatures w14:val="none"/>
        </w:rPr>
        <w:t xml:space="preserve">, </w:t>
      </w:r>
      <w:r w:rsidRPr="00E83A02">
        <w:rPr>
          <w:rFonts w:ascii="inherit" w:eastAsia="Times New Roman" w:hAnsi="inherit" w:cs="Arial"/>
          <w:color w:val="393939"/>
          <w:kern w:val="0"/>
          <w:sz w:val="21"/>
          <w:szCs w:val="21"/>
          <w:bdr w:val="none" w:sz="0" w:space="0" w:color="auto" w:frame="1"/>
          <w:lang w:eastAsia="es-CO"/>
          <w14:ligatures w14:val="none"/>
        </w:rPr>
        <w:t>Gyeongju</w:t>
      </w:r>
      <w:r>
        <w:rPr>
          <w:rFonts w:ascii="inherit" w:eastAsia="Times New Roman" w:hAnsi="inherit" w:cs="Arial"/>
          <w:color w:val="393939"/>
          <w:kern w:val="0"/>
          <w:sz w:val="21"/>
          <w:szCs w:val="21"/>
          <w:bdr w:val="none" w:sz="0" w:space="0" w:color="auto" w:frame="1"/>
          <w:lang w:eastAsia="es-CO"/>
          <w14:ligatures w14:val="none"/>
        </w:rPr>
        <w:t xml:space="preserve">, </w:t>
      </w:r>
      <w:r w:rsidRPr="00E83A02">
        <w:rPr>
          <w:rFonts w:ascii="inherit" w:eastAsia="Times New Roman" w:hAnsi="inherit" w:cs="Arial"/>
          <w:color w:val="393939"/>
          <w:kern w:val="0"/>
          <w:sz w:val="21"/>
          <w:szCs w:val="21"/>
          <w:bdr w:val="none" w:sz="0" w:space="0" w:color="auto" w:frame="1"/>
          <w:lang w:eastAsia="es-CO"/>
          <w14:ligatures w14:val="none"/>
        </w:rPr>
        <w:t>Busán</w:t>
      </w:r>
      <w:r>
        <w:rPr>
          <w:rFonts w:ascii="inherit" w:eastAsia="Times New Roman" w:hAnsi="inherit" w:cs="Arial"/>
          <w:color w:val="393939"/>
          <w:kern w:val="0"/>
          <w:sz w:val="21"/>
          <w:szCs w:val="21"/>
          <w:bdr w:val="none" w:sz="0" w:space="0" w:color="auto" w:frame="1"/>
          <w:lang w:eastAsia="es-CO"/>
          <w14:ligatures w14:val="none"/>
        </w:rPr>
        <w:t xml:space="preserve">, </w:t>
      </w:r>
      <w:r w:rsidRPr="00E83A02">
        <w:rPr>
          <w:rFonts w:ascii="inherit" w:eastAsia="Times New Roman" w:hAnsi="inherit" w:cs="Arial"/>
          <w:color w:val="393939"/>
          <w:kern w:val="0"/>
          <w:sz w:val="21"/>
          <w:szCs w:val="21"/>
          <w:bdr w:val="none" w:sz="0" w:space="0" w:color="auto" w:frame="1"/>
          <w:lang w:eastAsia="es-CO"/>
          <w14:ligatures w14:val="none"/>
        </w:rPr>
        <w:t>Phuket</w:t>
      </w:r>
    </w:p>
    <w:p w14:paraId="304CF2FD" w14:textId="77777777" w:rsidR="00E83A02" w:rsidRDefault="00E83A02" w:rsidP="00967F1A">
      <w:pPr>
        <w:shd w:val="clear" w:color="auto" w:fill="FFFFFF"/>
        <w:spacing w:after="0" w:line="240" w:lineRule="auto"/>
        <w:jc w:val="both"/>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DDE59E7" w14:textId="199A1210"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1 Seúl</w:t>
      </w:r>
    </w:p>
    <w:p w14:paraId="162BD2AE"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Llegada y traslado al hotel. Resto del día libre. Alojamiento.</w:t>
      </w:r>
    </w:p>
    <w:p w14:paraId="2A3E15EF" w14:textId="735BB52C"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2 Seúl</w:t>
      </w:r>
    </w:p>
    <w:p w14:paraId="2ADC388F"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 medio día de la ciudad incluyendo el Palacio Changdeok y mercado Gwangjang que ha mantenido su historia y el encanto de un mercado tradicional. Posteriormente visita del Museo Nacional con una interesante colección de arte coreano, descansaremos en la zona de COEX Mall donde podremos disfrutar de la biblioteca Byeolmadang, continuación a la Torre de Seúl en el Mt. Namsan desde donde podremos admirar las mejores vistas de la ciudad. Regreso al hotel. Alojamiento.</w:t>
      </w:r>
    </w:p>
    <w:p w14:paraId="5D728B68" w14:textId="694D6E71"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3 Seúl / P.N. Monte Songnisan / Daegu</w:t>
      </w:r>
    </w:p>
    <w:p w14:paraId="0E5AFD3C"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Daegu. En ruta visita de una aldea tradicional, donde podremos admirar las casas y el estilo de vida tradicional de los siglos XVII y XIX. El pueblo es una reconstrucción de la Corea tradicional que incluye más de 250 estructuras, donde se puede entender la vida de los campesinos y los nobles de antaño. Continuación al P. N. de Songnisan donde visitaremos el templo Beopjusa, en el que se encuentra la estatua de Buda de mayor tamaño de Corea. Continuación hacia Daegu. Llegada y alojamiento.</w:t>
      </w:r>
    </w:p>
    <w:p w14:paraId="53B1A237" w14:textId="283F0B91"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4 Daegu / Gyeongju</w:t>
      </w:r>
    </w:p>
    <w:p w14:paraId="60A8F364"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Museo de Medicina Oriental Yangnyeongsi, y del mercado Seomun. Salida hacia Gyeongju, considerada Patrimonio de la Humanidad por la Unesco, es conocida como el “Museo sin Muros” debido a sus tumbas reales y vestigios de palacios y fortalezas. Visita de la ciudad incluyendo el Observatorio Astronómico de Cheomseongdae construido en el año 647 y el parque real de Tumuli. Alojamiento.</w:t>
      </w:r>
    </w:p>
    <w:p w14:paraId="4C8E343F" w14:textId="45362908"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5 Gyeongju</w:t>
      </w:r>
    </w:p>
    <w:p w14:paraId="06772477"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templo de Bulguksa. Veremos el templo de Seokguram Grotto, situado a los pies del Mt. Tohan. El templo alberga una estatua de gran tamaño de Buda considerada una de las cimas del arte búdico del Lejano Oriente. Visita del Buda de las cuatro caras, el Mausoleo Real de Gwaeneung y recorrido paisajístico hasta el Puerto de Guryongpo. Regreso a Gyeongju. Alojamiento.</w:t>
      </w:r>
    </w:p>
    <w:p w14:paraId="23BE98F6" w14:textId="0AD4C8BD"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6 Gyeongju / Busán</w:t>
      </w:r>
    </w:p>
    <w:p w14:paraId="61FEE3E4"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templo budista de Unmoonsa (regentado por monjas) y continuación hacia Busan, situada al sur de la Península de Corea. Visita de la ciudad incluyendo la Torre de Busan situada en el parque Yongdusan, que disfruta de excelentes vistas, el Mercado de Pescado de Jagalchi y la calle comercial de Nampodong. Alojamiento.</w:t>
      </w:r>
    </w:p>
    <w:p w14:paraId="0A798975" w14:textId="12E33170"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7 Busán / Seúl</w:t>
      </w:r>
    </w:p>
    <w:p w14:paraId="739B08FF"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Seúl. Resto del día libre. Alojamiento.</w:t>
      </w:r>
    </w:p>
    <w:p w14:paraId="1DB50105" w14:textId="0AEBFE71"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8 Seúl / Phuket</w:t>
      </w:r>
    </w:p>
    <w:p w14:paraId="43F4E353"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A la hora prevista traslado al aeropuerto para salir en vuelo a Phuket (vuelo no incluido). Llegada y alojamiento.</w:t>
      </w:r>
    </w:p>
    <w:p w14:paraId="24C1BE12" w14:textId="4E58A513"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9 y 10 Phuket</w:t>
      </w:r>
    </w:p>
    <w:p w14:paraId="37A586FD"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Días libres. Alojamiento.</w:t>
      </w:r>
    </w:p>
    <w:p w14:paraId="64387891" w14:textId="6052CA17" w:rsidR="00D63C52" w:rsidRDefault="00296536" w:rsidP="0029653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sidR="00D63C52">
        <w:rPr>
          <w:rStyle w:val="Textoennegrita"/>
          <w:rFonts w:ascii="inherit" w:eastAsiaTheme="majorEastAsia" w:hAnsi="inherit" w:cs="Arial"/>
          <w:color w:val="393939"/>
          <w:sz w:val="21"/>
          <w:szCs w:val="21"/>
          <w:bdr w:val="none" w:sz="0" w:space="0" w:color="auto" w:frame="1"/>
        </w:rPr>
        <w:t>11 Phuket</w:t>
      </w:r>
    </w:p>
    <w:p w14:paraId="657638A7" w14:textId="77777777" w:rsidR="00D63C52" w:rsidRDefault="00D63C52" w:rsidP="0029653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A la hora prevista traslado al aeropuerto.</w:t>
      </w:r>
    </w:p>
    <w:p w14:paraId="7EEC8D58" w14:textId="3EEA4ED0" w:rsidR="00022346" w:rsidRDefault="00022346" w:rsidP="00022346">
      <w:pPr>
        <w:pStyle w:val="NormalWeb"/>
        <w:shd w:val="clear" w:color="auto" w:fill="FFFFFF"/>
        <w:spacing w:before="0" w:beforeAutospacing="0" w:after="150" w:afterAutospacing="0"/>
        <w:textAlignment w:val="baseline"/>
        <w:rPr>
          <w:rFonts w:ascii="Arial" w:hAnsi="Arial" w:cs="Arial"/>
          <w:color w:val="393939"/>
          <w:sz w:val="21"/>
          <w:szCs w:val="21"/>
        </w:rPr>
      </w:pPr>
      <w:r>
        <w:rPr>
          <w:rFonts w:ascii="Arial" w:hAnsi="Arial" w:cs="Arial"/>
          <w:color w:val="393939"/>
          <w:sz w:val="21"/>
          <w:szCs w:val="21"/>
        </w:rPr>
        <w:lastRenderedPageBreak/>
        <w:t>.</w:t>
      </w:r>
    </w:p>
    <w:p w14:paraId="1FD56F1A"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u w:val="single"/>
          <w:bdr w:val="none" w:sz="0" w:space="0" w:color="auto" w:frame="1"/>
        </w:rPr>
        <w:t>OBSERVACIONES</w:t>
      </w:r>
    </w:p>
    <w:p w14:paraId="5A1404F2"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El circuito consta de guías multilingües, entre ellos de habla hispana (se unirán en destino con más personas de diferentes nacionalidades). Las explicaciones se darán siempre durante las visitas, nunca en los transportes.   Durante los meses de abril y octubre, guía multilingüe de habla hispana, sujeto a disponibilidad.El traslado de regreso de Busán a Seúl se realizará en autobús o tren, según el número de pasajeros.</w:t>
      </w:r>
    </w:p>
    <w:p w14:paraId="49B5BB8F"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p>
    <w:p w14:paraId="1924C2DC" w14:textId="1B939C2C" w:rsidR="00346E53" w:rsidRPr="00346E53" w:rsidRDefault="00346E53" w:rsidP="00346E53">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346E53">
        <w:rPr>
          <w:rFonts w:ascii="Arial" w:eastAsia="Times New Roman" w:hAnsi="Arial" w:cs="Arial"/>
          <w:b/>
          <w:bCs/>
          <w:color w:val="77206D" w:themeColor="accent5" w:themeShade="BF"/>
          <w:kern w:val="0"/>
          <w:sz w:val="32"/>
          <w:szCs w:val="32"/>
          <w:lang w:eastAsia="es-CO"/>
          <w14:ligatures w14:val="none"/>
        </w:rPr>
        <w:t xml:space="preserve">DESDE USD </w:t>
      </w:r>
      <w:r w:rsidR="002C1C12">
        <w:rPr>
          <w:rFonts w:ascii="Arial" w:eastAsia="Times New Roman" w:hAnsi="Arial" w:cs="Arial"/>
          <w:b/>
          <w:bCs/>
          <w:color w:val="77206D" w:themeColor="accent5" w:themeShade="BF"/>
          <w:kern w:val="0"/>
          <w:sz w:val="32"/>
          <w:szCs w:val="32"/>
          <w:lang w:eastAsia="es-CO"/>
          <w14:ligatures w14:val="none"/>
        </w:rPr>
        <w:t>4</w:t>
      </w:r>
      <w:r w:rsidR="00065611">
        <w:rPr>
          <w:rFonts w:ascii="Arial" w:eastAsia="Times New Roman" w:hAnsi="Arial" w:cs="Arial"/>
          <w:b/>
          <w:bCs/>
          <w:color w:val="77206D" w:themeColor="accent5" w:themeShade="BF"/>
          <w:kern w:val="0"/>
          <w:sz w:val="32"/>
          <w:szCs w:val="32"/>
          <w:lang w:eastAsia="es-CO"/>
          <w14:ligatures w14:val="none"/>
        </w:rPr>
        <w:t>26</w:t>
      </w:r>
      <w:r w:rsidR="002C1C12">
        <w:rPr>
          <w:rFonts w:ascii="Arial" w:eastAsia="Times New Roman" w:hAnsi="Arial" w:cs="Arial"/>
          <w:b/>
          <w:bCs/>
          <w:color w:val="77206D" w:themeColor="accent5" w:themeShade="BF"/>
          <w:kern w:val="0"/>
          <w:sz w:val="32"/>
          <w:szCs w:val="32"/>
          <w:lang w:eastAsia="es-CO"/>
          <w14:ligatures w14:val="none"/>
        </w:rPr>
        <w:t>0</w:t>
      </w:r>
    </w:p>
    <w:p w14:paraId="0FC35B66" w14:textId="5B5CFB62" w:rsidR="00346E53" w:rsidRDefault="00346E53"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6D332903" w14:textId="77777777" w:rsidR="0058581B" w:rsidRDefault="0058581B"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5E47E050" w14:textId="77777777" w:rsidR="0058581B" w:rsidRDefault="0058581B" w:rsidP="0058581B">
      <w:pPr>
        <w:shd w:val="clear" w:color="auto" w:fill="FFFFFF"/>
        <w:spacing w:after="0" w:line="240" w:lineRule="auto"/>
        <w:jc w:val="center"/>
        <w:textAlignment w:val="baseline"/>
        <w:rPr>
          <w:rFonts w:ascii="Arial" w:eastAsia="Times New Roman" w:hAnsi="Arial" w:cs="Arial"/>
          <w:b/>
          <w:bCs/>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671AF9EC" w14:textId="77777777" w:rsidTr="0058581B">
        <w:tc>
          <w:tcPr>
            <w:tcW w:w="4414" w:type="dxa"/>
          </w:tcPr>
          <w:p w14:paraId="1E4F0A84" w14:textId="225C9E75" w:rsidR="0058581B" w:rsidRDefault="0058581B" w:rsidP="0058581B">
            <w:pPr>
              <w:jc w:val="both"/>
            </w:pPr>
            <w:r>
              <w:t>SEUL</w:t>
            </w:r>
          </w:p>
        </w:tc>
        <w:tc>
          <w:tcPr>
            <w:tcW w:w="4414" w:type="dxa"/>
          </w:tcPr>
          <w:p w14:paraId="59532E10" w14:textId="48462762" w:rsidR="0058581B" w:rsidRDefault="00851DA4" w:rsidP="0058581B">
            <w:pPr>
              <w:jc w:val="both"/>
            </w:pPr>
            <w:r w:rsidRPr="00851DA4">
              <w:t>Novotel Ambassador Dongdaemun (Primera Superior)</w:t>
            </w:r>
          </w:p>
        </w:tc>
      </w:tr>
      <w:tr w:rsidR="0058581B" w14:paraId="72415B6B" w14:textId="77777777" w:rsidTr="0058581B">
        <w:tc>
          <w:tcPr>
            <w:tcW w:w="4414" w:type="dxa"/>
          </w:tcPr>
          <w:p w14:paraId="10F2B1F9" w14:textId="66F53621" w:rsidR="0058581B" w:rsidRDefault="004A2220" w:rsidP="0058581B">
            <w:pPr>
              <w:jc w:val="both"/>
            </w:pPr>
            <w:r w:rsidRPr="004A2220">
              <w:t>DAEGU</w:t>
            </w:r>
          </w:p>
        </w:tc>
        <w:tc>
          <w:tcPr>
            <w:tcW w:w="4414" w:type="dxa"/>
          </w:tcPr>
          <w:p w14:paraId="49A24BC3" w14:textId="554F89BF" w:rsidR="0058581B" w:rsidRDefault="004A2220" w:rsidP="0058581B">
            <w:pPr>
              <w:jc w:val="both"/>
            </w:pPr>
            <w:r w:rsidRPr="004A2220">
              <w:t>Daegu Grand (Primera)</w:t>
            </w:r>
          </w:p>
        </w:tc>
      </w:tr>
      <w:tr w:rsidR="00477C73" w14:paraId="4530EF1A" w14:textId="77777777" w:rsidTr="0058581B">
        <w:tc>
          <w:tcPr>
            <w:tcW w:w="4414" w:type="dxa"/>
          </w:tcPr>
          <w:p w14:paraId="1D28F501" w14:textId="5409FC02" w:rsidR="00477C73" w:rsidRDefault="004A2220" w:rsidP="0058581B">
            <w:pPr>
              <w:jc w:val="both"/>
            </w:pPr>
            <w:r w:rsidRPr="004A2220">
              <w:t>GYEONGJU</w:t>
            </w:r>
          </w:p>
        </w:tc>
        <w:tc>
          <w:tcPr>
            <w:tcW w:w="4414" w:type="dxa"/>
          </w:tcPr>
          <w:p w14:paraId="474BE22F" w14:textId="13AED3EF" w:rsidR="00477C73" w:rsidRPr="0058581B" w:rsidRDefault="00851DA4" w:rsidP="0058581B">
            <w:pPr>
              <w:jc w:val="both"/>
            </w:pPr>
            <w:r w:rsidRPr="00851DA4">
              <w:t>Lahan Select (Lujo)</w:t>
            </w:r>
          </w:p>
        </w:tc>
      </w:tr>
      <w:tr w:rsidR="004A2220" w14:paraId="65EA9D8F" w14:textId="77777777" w:rsidTr="0058581B">
        <w:tc>
          <w:tcPr>
            <w:tcW w:w="4414" w:type="dxa"/>
          </w:tcPr>
          <w:p w14:paraId="75DB3E97" w14:textId="094788C6" w:rsidR="004A2220" w:rsidRPr="004A2220" w:rsidRDefault="004A2220" w:rsidP="0058581B">
            <w:pPr>
              <w:jc w:val="both"/>
            </w:pPr>
            <w:r w:rsidRPr="004A2220">
              <w:t>BUSÁN</w:t>
            </w:r>
          </w:p>
        </w:tc>
        <w:tc>
          <w:tcPr>
            <w:tcW w:w="4414" w:type="dxa"/>
          </w:tcPr>
          <w:p w14:paraId="76FD13B9" w14:textId="1F65A3EC" w:rsidR="004A2220" w:rsidRPr="004A2220" w:rsidRDefault="004A2220" w:rsidP="0058581B">
            <w:pPr>
              <w:jc w:val="both"/>
            </w:pPr>
            <w:r w:rsidRPr="004A2220">
              <w:t>Avani Central Busan (Primera Superior).</w:t>
            </w:r>
          </w:p>
        </w:tc>
      </w:tr>
      <w:tr w:rsidR="00022346" w:rsidRPr="00022346" w14:paraId="1FB35032" w14:textId="77777777" w:rsidTr="0058581B">
        <w:tc>
          <w:tcPr>
            <w:tcW w:w="4414" w:type="dxa"/>
          </w:tcPr>
          <w:p w14:paraId="2D75FB0A" w14:textId="21F62AF8" w:rsidR="00022346" w:rsidRPr="004A2220" w:rsidRDefault="00851DA4" w:rsidP="0058581B">
            <w:pPr>
              <w:jc w:val="both"/>
            </w:pPr>
            <w:r>
              <w:t>PHUKET</w:t>
            </w:r>
          </w:p>
        </w:tc>
        <w:tc>
          <w:tcPr>
            <w:tcW w:w="4414" w:type="dxa"/>
          </w:tcPr>
          <w:p w14:paraId="222C7C8F" w14:textId="6DC3D553" w:rsidR="00022346" w:rsidRPr="00022346" w:rsidRDefault="00851DA4" w:rsidP="0058581B">
            <w:pPr>
              <w:jc w:val="both"/>
              <w:rPr>
                <w:lang w:val="pt-PT"/>
              </w:rPr>
            </w:pPr>
            <w:r w:rsidRPr="00851DA4">
              <w:rPr>
                <w:lang w:val="pt-PT"/>
              </w:rPr>
              <w:t>Melia Mai Khao (Lujo)</w:t>
            </w:r>
          </w:p>
        </w:tc>
      </w:tr>
    </w:tbl>
    <w:p w14:paraId="24A0FC44" w14:textId="77777777" w:rsidR="00851DA4" w:rsidRDefault="00851DA4" w:rsidP="00346E53">
      <w:pPr>
        <w:spacing w:after="0"/>
        <w:jc w:val="both"/>
        <w:rPr>
          <w:b/>
          <w:bCs/>
        </w:rPr>
      </w:pPr>
    </w:p>
    <w:p w14:paraId="58698788" w14:textId="4B9EC2B8" w:rsidR="00346E53" w:rsidRPr="00346E53" w:rsidRDefault="00346E53" w:rsidP="00346E53">
      <w:pPr>
        <w:spacing w:after="0"/>
        <w:jc w:val="both"/>
        <w:rPr>
          <w:b/>
          <w:bCs/>
        </w:rPr>
      </w:pPr>
      <w:r w:rsidRPr="00346E53">
        <w:rPr>
          <w:b/>
          <w:bCs/>
        </w:rPr>
        <w:t>INCLUYE</w:t>
      </w:r>
    </w:p>
    <w:p w14:paraId="3129214E" w14:textId="77777777" w:rsidR="00851DA4" w:rsidRDefault="00851DA4" w:rsidP="00851DA4">
      <w:pPr>
        <w:pStyle w:val="Prrafodelista"/>
        <w:numPr>
          <w:ilvl w:val="0"/>
          <w:numId w:val="4"/>
        </w:numPr>
        <w:spacing w:after="0"/>
        <w:jc w:val="both"/>
      </w:pPr>
      <w:r>
        <w:t>10 noches en los hoteles previstos o similares, en régimen de alojamiento y desayuno en habitación doble.</w:t>
      </w:r>
    </w:p>
    <w:p w14:paraId="11EF7CFD" w14:textId="77777777" w:rsidR="00851DA4" w:rsidRDefault="00851DA4" w:rsidP="00851DA4">
      <w:pPr>
        <w:pStyle w:val="Prrafodelista"/>
        <w:numPr>
          <w:ilvl w:val="0"/>
          <w:numId w:val="4"/>
        </w:numPr>
        <w:spacing w:after="0"/>
        <w:jc w:val="both"/>
      </w:pPr>
      <w:r>
        <w:t>Guías multilingües, entre ellos de habla hispana (se unirán en destino con más personas de diferentes nacionalidades).</w:t>
      </w:r>
    </w:p>
    <w:p w14:paraId="774FCE00" w14:textId="77777777" w:rsidR="00851DA4" w:rsidRDefault="00851DA4" w:rsidP="00346E53">
      <w:pPr>
        <w:spacing w:after="0"/>
        <w:jc w:val="both"/>
        <w:rPr>
          <w:b/>
          <w:bCs/>
        </w:rPr>
      </w:pPr>
    </w:p>
    <w:p w14:paraId="7F9A546A" w14:textId="6EDEE04D"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62FB1F9F" w14:textId="758450FC" w:rsidR="00477C73" w:rsidRDefault="00477C73" w:rsidP="00346E53">
      <w:pPr>
        <w:pStyle w:val="Prrafodelista"/>
        <w:numPr>
          <w:ilvl w:val="0"/>
          <w:numId w:val="1"/>
        </w:numPr>
        <w:spacing w:after="0"/>
        <w:jc w:val="both"/>
      </w:pPr>
      <w:r>
        <w:t>Visados</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77C5B"/>
    <w:multiLevelType w:val="hybridMultilevel"/>
    <w:tmpl w:val="FF40C0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0E00AE1"/>
    <w:multiLevelType w:val="hybridMultilevel"/>
    <w:tmpl w:val="F90CE8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38635401">
    <w:abstractNumId w:val="2"/>
  </w:num>
  <w:num w:numId="2" w16cid:durableId="933055500">
    <w:abstractNumId w:val="1"/>
  </w:num>
  <w:num w:numId="3" w16cid:durableId="344669337">
    <w:abstractNumId w:val="3"/>
  </w:num>
  <w:num w:numId="4" w16cid:durableId="204282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22346"/>
    <w:rsid w:val="00065611"/>
    <w:rsid w:val="00097D82"/>
    <w:rsid w:val="000B5E14"/>
    <w:rsid w:val="001A5674"/>
    <w:rsid w:val="00296536"/>
    <w:rsid w:val="002C1C12"/>
    <w:rsid w:val="00346E53"/>
    <w:rsid w:val="00477C73"/>
    <w:rsid w:val="004A2220"/>
    <w:rsid w:val="0058581B"/>
    <w:rsid w:val="00660C31"/>
    <w:rsid w:val="007760E5"/>
    <w:rsid w:val="00851DA4"/>
    <w:rsid w:val="00873D3F"/>
    <w:rsid w:val="00967F1A"/>
    <w:rsid w:val="00AE6076"/>
    <w:rsid w:val="00CE2BF6"/>
    <w:rsid w:val="00D04568"/>
    <w:rsid w:val="00D63C52"/>
    <w:rsid w:val="00DF6E3E"/>
    <w:rsid w:val="00E31A76"/>
    <w:rsid w:val="00E83A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6076"/>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AE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7171">
      <w:bodyDiv w:val="1"/>
      <w:marLeft w:val="0"/>
      <w:marRight w:val="0"/>
      <w:marTop w:val="0"/>
      <w:marBottom w:val="0"/>
      <w:divBdr>
        <w:top w:val="none" w:sz="0" w:space="0" w:color="auto"/>
        <w:left w:val="none" w:sz="0" w:space="0" w:color="auto"/>
        <w:bottom w:val="none" w:sz="0" w:space="0" w:color="auto"/>
        <w:right w:val="none" w:sz="0" w:space="0" w:color="auto"/>
      </w:divBdr>
    </w:div>
    <w:div w:id="854808840">
      <w:bodyDiv w:val="1"/>
      <w:marLeft w:val="0"/>
      <w:marRight w:val="0"/>
      <w:marTop w:val="0"/>
      <w:marBottom w:val="0"/>
      <w:divBdr>
        <w:top w:val="none" w:sz="0" w:space="0" w:color="auto"/>
        <w:left w:val="none" w:sz="0" w:space="0" w:color="auto"/>
        <w:bottom w:val="none" w:sz="0" w:space="0" w:color="auto"/>
        <w:right w:val="none" w:sz="0" w:space="0" w:color="auto"/>
      </w:divBdr>
      <w:divsChild>
        <w:div w:id="591207048">
          <w:marLeft w:val="0"/>
          <w:marRight w:val="0"/>
          <w:marTop w:val="0"/>
          <w:marBottom w:val="150"/>
          <w:divBdr>
            <w:top w:val="none" w:sz="0" w:space="0" w:color="auto"/>
            <w:left w:val="none" w:sz="0" w:space="0" w:color="auto"/>
            <w:bottom w:val="none" w:sz="0" w:space="0" w:color="auto"/>
            <w:right w:val="none" w:sz="0" w:space="0" w:color="auto"/>
          </w:divBdr>
          <w:divsChild>
            <w:div w:id="1147354804">
              <w:marLeft w:val="0"/>
              <w:marRight w:val="150"/>
              <w:marTop w:val="0"/>
              <w:marBottom w:val="0"/>
              <w:divBdr>
                <w:top w:val="none" w:sz="0" w:space="0" w:color="auto"/>
                <w:left w:val="none" w:sz="0" w:space="0" w:color="auto"/>
                <w:bottom w:val="none" w:sz="0" w:space="0" w:color="auto"/>
                <w:right w:val="none" w:sz="0" w:space="0" w:color="auto"/>
              </w:divBdr>
            </w:div>
          </w:divsChild>
        </w:div>
        <w:div w:id="1877087194">
          <w:marLeft w:val="0"/>
          <w:marRight w:val="0"/>
          <w:marTop w:val="0"/>
          <w:marBottom w:val="0"/>
          <w:divBdr>
            <w:top w:val="none" w:sz="0" w:space="0" w:color="auto"/>
            <w:left w:val="none" w:sz="0" w:space="0" w:color="auto"/>
            <w:bottom w:val="none" w:sz="0" w:space="0" w:color="auto"/>
            <w:right w:val="none" w:sz="0" w:space="0" w:color="auto"/>
          </w:divBdr>
        </w:div>
      </w:divsChild>
    </w:div>
    <w:div w:id="1314140604">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 w:id="19288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603</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7</cp:revision>
  <dcterms:created xsi:type="dcterms:W3CDTF">2024-12-20T17:10:00Z</dcterms:created>
  <dcterms:modified xsi:type="dcterms:W3CDTF">2024-12-21T22:17:00Z</dcterms:modified>
</cp:coreProperties>
</file>